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20DE2" w14:textId="76992DA7" w:rsidR="0071224A" w:rsidRPr="00F27777" w:rsidRDefault="001F441A" w:rsidP="00F27777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bookmarkStart w:id="0" w:name="_Hlk139279782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Die 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Alexander Bürkle GmbH &amp; Co. KG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ist ein familiengeführtes Unternehmen mit Hauptsitz in </w:t>
      </w:r>
      <w:r w:rsidRPr="000C1E1F">
        <w:rPr>
          <w:rFonts w:ascii="Arial" w:hAnsi="Arial" w:cs="Arial"/>
          <w:sz w:val="21"/>
          <w:szCs w:val="21"/>
          <w:shd w:val="clear" w:color="auto" w:fill="FFFFFF"/>
        </w:rPr>
        <w:t>Freiburg im Breisgau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. Sie ist im Elektrogroßhandel und als Technologiedienstleister tätig. Die Unternehmensbereiche fokussieren sich auf die Branchen </w:t>
      </w:r>
      <w:r w:rsidRPr="00D51778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smart buildings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(Elektrohandwerk), </w:t>
      </w:r>
      <w:r w:rsidRPr="00D51778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smart industries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(Maschinenbau &amp; produzierendes Gewerbe) und </w:t>
      </w:r>
      <w:r w:rsidRPr="00D51778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smart consumers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(Elektrofachhandel). Zur Alexander Bürkle Gruppe zählen die Produktions- und Dienstleistungsunternehmen </w:t>
      </w:r>
      <w:r w:rsidRPr="000C1E1F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Alexander Bürkle cable solutions GmbH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in Offingen (Kabelkonfektion</w:t>
      </w:r>
      <w:r w:rsidR="008602FF">
        <w:rPr>
          <w:rFonts w:ascii="Arial" w:hAnsi="Arial" w:cs="Arial"/>
          <w:color w:val="202122"/>
          <w:sz w:val="21"/>
          <w:szCs w:val="21"/>
          <w:shd w:val="clear" w:color="auto" w:fill="FFFFFF"/>
        </w:rPr>
        <w:t>) sowie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0C1E1F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Alexander Bürkle panel solutions GmbH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in Malterdingen </w:t>
      </w:r>
      <w:r w:rsidR="008602FF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und Mainhausen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(Schaltanlagenbau).</w:t>
      </w:r>
      <w:r w:rsidRPr="000C1E1F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Das Unternehmen wurde im Jahr 1900 von Alexander Bürkle gegründet. Die heutige Unternehmensgruppe beschäftigt an </w:t>
      </w:r>
      <w:r w:rsidR="003C6B39">
        <w:rPr>
          <w:rFonts w:ascii="Arial" w:hAnsi="Arial" w:cs="Arial"/>
          <w:color w:val="202122"/>
          <w:sz w:val="21"/>
          <w:szCs w:val="21"/>
          <w:shd w:val="clear" w:color="auto" w:fill="FFFFFF"/>
        </w:rPr>
        <w:t>30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Standorten über 1.100 Mitarbeiter, darunter mehr als 60 Auszubildende. Gehandelt werden rund </w:t>
      </w:r>
      <w:r w:rsidRPr="002A42D9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3,8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Mio. elektrotechnische und elektronische Produkte und Komponenten. Neben dem Handel wird den Kunden ein umfangreiches Dienstleistungsportfolio entlang der elektrotechnischen Wertschöpfungskette geboten. Der Jahresumsatz der Gruppe liegt bei 4</w:t>
      </w:r>
      <w:r w:rsidR="003C6B39">
        <w:rPr>
          <w:rFonts w:ascii="Arial" w:hAnsi="Arial" w:cs="Arial"/>
          <w:color w:val="202122"/>
          <w:sz w:val="21"/>
          <w:szCs w:val="21"/>
          <w:shd w:val="clear" w:color="auto" w:fill="FFFFFF"/>
        </w:rPr>
        <w:t>57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Mio. Euro.</w:t>
      </w:r>
      <w:bookmarkEnd w:id="0"/>
    </w:p>
    <w:sectPr w:rsidR="0071224A" w:rsidRPr="00F277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4176"/>
    <w:multiLevelType w:val="multilevel"/>
    <w:tmpl w:val="261C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D0693"/>
    <w:multiLevelType w:val="hybridMultilevel"/>
    <w:tmpl w:val="7B061426"/>
    <w:lvl w:ilvl="0" w:tplc="2920000E">
      <w:numFmt w:val="bullet"/>
      <w:lvlText w:val="-"/>
      <w:lvlJc w:val="left"/>
      <w:pPr>
        <w:ind w:left="720" w:hanging="360"/>
      </w:pPr>
      <w:rPr>
        <w:rFonts w:ascii="Fira Sans" w:eastAsia="Times New Roman" w:hAnsi="Fira San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478E7"/>
    <w:multiLevelType w:val="multilevel"/>
    <w:tmpl w:val="25E65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7E66BB"/>
    <w:multiLevelType w:val="multilevel"/>
    <w:tmpl w:val="9E5A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DF22650"/>
    <w:multiLevelType w:val="hybridMultilevel"/>
    <w:tmpl w:val="00D2DF40"/>
    <w:lvl w:ilvl="0" w:tplc="DBB676C0">
      <w:numFmt w:val="bullet"/>
      <w:lvlText w:val="-"/>
      <w:lvlJc w:val="left"/>
      <w:pPr>
        <w:ind w:left="720" w:hanging="360"/>
      </w:pPr>
      <w:rPr>
        <w:rFonts w:ascii="Fira Sans" w:eastAsiaTheme="minorHAnsi" w:hAnsi="Fira San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535156">
    <w:abstractNumId w:val="2"/>
  </w:num>
  <w:num w:numId="2" w16cid:durableId="1287545625">
    <w:abstractNumId w:val="3"/>
  </w:num>
  <w:num w:numId="3" w16cid:durableId="611282868">
    <w:abstractNumId w:val="1"/>
  </w:num>
  <w:num w:numId="4" w16cid:durableId="611740424">
    <w:abstractNumId w:val="4"/>
  </w:num>
  <w:num w:numId="5" w16cid:durableId="2032996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4F6"/>
    <w:rsid w:val="00036EA9"/>
    <w:rsid w:val="000918AB"/>
    <w:rsid w:val="000C1E1F"/>
    <w:rsid w:val="000D6EE3"/>
    <w:rsid w:val="00124EA9"/>
    <w:rsid w:val="001566B9"/>
    <w:rsid w:val="00161D8B"/>
    <w:rsid w:val="001954F6"/>
    <w:rsid w:val="001F441A"/>
    <w:rsid w:val="002044AC"/>
    <w:rsid w:val="0020510F"/>
    <w:rsid w:val="00246305"/>
    <w:rsid w:val="00274EE8"/>
    <w:rsid w:val="002755EB"/>
    <w:rsid w:val="002A42D9"/>
    <w:rsid w:val="002A47FD"/>
    <w:rsid w:val="002C0B82"/>
    <w:rsid w:val="003067BD"/>
    <w:rsid w:val="003A7D76"/>
    <w:rsid w:val="003C6B39"/>
    <w:rsid w:val="005A7A3C"/>
    <w:rsid w:val="0071224A"/>
    <w:rsid w:val="00850DDE"/>
    <w:rsid w:val="008602FF"/>
    <w:rsid w:val="00893B13"/>
    <w:rsid w:val="008C2F32"/>
    <w:rsid w:val="009D6572"/>
    <w:rsid w:val="009E6C5A"/>
    <w:rsid w:val="00A16550"/>
    <w:rsid w:val="00A242BD"/>
    <w:rsid w:val="00A576A0"/>
    <w:rsid w:val="00BB3D78"/>
    <w:rsid w:val="00BD3E1B"/>
    <w:rsid w:val="00C0482B"/>
    <w:rsid w:val="00C67300"/>
    <w:rsid w:val="00CD154A"/>
    <w:rsid w:val="00D2445A"/>
    <w:rsid w:val="00D51778"/>
    <w:rsid w:val="00D97722"/>
    <w:rsid w:val="00DD7A7F"/>
    <w:rsid w:val="00E651E0"/>
    <w:rsid w:val="00EB1174"/>
    <w:rsid w:val="00F27777"/>
    <w:rsid w:val="00F40FBC"/>
    <w:rsid w:val="00F4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EDC1"/>
  <w15:chartTrackingRefBased/>
  <w15:docId w15:val="{E8F93DF0-CDB3-42F6-9A98-3153E43AA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1954F6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195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quotetxt">
    <w:name w:val="quotetxt"/>
    <w:basedOn w:val="Standard"/>
    <w:uiPriority w:val="1"/>
    <w:rsid w:val="001954F6"/>
    <w:pPr>
      <w:spacing w:beforeAutospacing="1" w:afterAutospacing="1"/>
    </w:pPr>
    <w:rPr>
      <w:rFonts w:ascii="Times New Roman" w:eastAsiaTheme="minorEastAsia" w:hAnsi="Times New Roman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1954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954F6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246305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0C1E1F"/>
    <w:rPr>
      <w:color w:val="0000FF"/>
      <w:u w:val="single"/>
    </w:rPr>
  </w:style>
  <w:style w:type="paragraph" w:customStyle="1" w:styleId="styledstyledlistitem-sc-zqjtco-1">
    <w:name w:val="styled__styledlistitem-sc-zqjtco-1"/>
    <w:basedOn w:val="Standard"/>
    <w:rsid w:val="00E65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styledabtext-sc-131boho-0">
    <w:name w:val="styled__abtext-sc-131boho-0"/>
    <w:basedOn w:val="Standard"/>
    <w:rsid w:val="00E65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14144-B0E8-4DA7-99C9-7076AC32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Hiss, Katharina</dc:creator>
  <cp:keywords/>
  <dc:description/>
  <cp:lastModifiedBy>Hiss, Katharina</cp:lastModifiedBy>
  <cp:revision>22</cp:revision>
  <dcterms:created xsi:type="dcterms:W3CDTF">2023-06-29T11:05:00Z</dcterms:created>
  <dcterms:modified xsi:type="dcterms:W3CDTF">2025-01-09T07:38:00Z</dcterms:modified>
</cp:coreProperties>
</file>